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82 vom 1. April 2026</w:t>
      </w:r>
    </w:p>
    <w:p>
      <w:r>
        <w:t>FR Kantonsgericht, 2026-04-01, FR</w:t>
      </w:r>
    </w:p>
    <w:p>
      <w:r>
        <w:rPr>
          <w:b/>
        </w:rPr>
        <w:t xml:space="preserve">Quelle: </w:t>
      </w:r>
      <w:r>
        <w:t>https://mcp.opencaselaw.ch/entscheid/fr_gerichte_605 2025 82</w:t>
      </w:r>
    </w:p>
    <w:p>
      <w:r>
        <w:t>FR: FR_GERICHTE 605 2025 82 du 1 avril 2026</w:t>
      </w:r>
    </w:p>
    <w:p>
      <w:r>
        <w:t>IT: FR_GERICHTE 605 2025 82 del 1 aprile 2026</w:t>
      </w:r>
    </w:p>
    <w:p>
      <w:pPr>
        <w:pStyle w:val="Heading2"/>
      </w:pPr>
      <w:r>
        <w:t>Erwägungen</w:t>
      </w:r>
    </w:p>
    <w:p>
      <w:r>
        <w:rPr>
          <w:b/>
        </w:rPr>
        <w:t>E. 10</w:t>
      </w:r>
    </w:p>
    <w:p>
      <w:r>
        <w:t>kg, un port de charges répété inférieur à 5 kg, l'absence de port de charges en porte-à-faux du buste, l'alternance des positions assise et debout, un port de charges bilatéral à favoriser, ainsi que l'absence de travail au-dessus du plan horizontal avec les membres supérieurs. Sur le plan neurologique, les experts déconseillent en outre les mouvements répétitifs des membres supérieurs. A la demande de l'assuré, désormais représenté par Me Charles Guerry, avocat à Fribourg, l'OAI lui a transmis le rapport d'expertise pour prise de position. Par courrier du 31 août 2023, l'assuré a indiqué qu'un spécialiste en médecine physique et réadaptation consulté postérieurement à l'expertise estimait que son activité habituelle n'était plus exigible au regard des limitations fonctionnelles constatées et que des investigations médicales complémentaires étaient en cours. Il a dès lors sollicité que l'Office attende leur issue avant de rendre un projet de décision, ce que l'OAI a accepté. Dans l'intervalle, l'assuré a participé à un programme de restauration fonctionnelle du rachis du 15 au 26 avril 2024 ainsi qu'à un séjour visant le traitement multimodal de la douleur du 17 au 29 septembre 2024 à D.________. Entre août 2024 et mars 2025, il a transmis à l'OAI divers certificats et rapports relatifs à l'évolution de sa situation médicale.</w:t>
      </w:r>
    </w:p>
    <w:p>
      <w:r>
        <w:t>Tribunal cantonal TC Page 3 de 15 Après avoir soumis ces pièces au Service médical régional (ci-après: SMR), l'OAI a rendu, le</w:t>
      </w:r>
    </w:p>
    <w:p>
      <w:r>
        <w:rPr>
          <w:b/>
        </w:rPr>
        <w:t>E. 14</w:t>
      </w:r>
    </w:p>
    <w:p>
      <w:r>
        <w:t>décembre 2020, dossier AI, p. 122). 4.5.2. A l'exception de ces incohérences, l'appréciation de l'expert psychiatre peut être suivie. Au moment de la mise en œuvre de l'expertise, aucun suivi psychiatrique n'avait été signalé à l'OAI, ni aucune incapacité de travail n'avait été attestée pour des motifs psychiatriques. Ce n'est qu'à partir du 31 octobre 2023, soit quelques jours après la fin de son contrat de travail, que le recourant s'est rendu à trois séances auprès d'un psychologue, sans qu'un suivi régulier n'ait été ultérieurement mis en place (cf. rapport du 20 décembre 2023 de R.________, psychologue-psychothérapeute, dossier AI, p. 594). Dans un rapport du 30 avril 2024 (dossier AI, p. 647), visant à valider la participation au programme de prise en charge rééducative interdisciplinaire au sein du programme de restauration fonctionnelle du rachis, le Dr K.________, en collaboration avec deux psychologues, pose des hypothèses de diagnostic à savoir un trouble de l'adaptation, réaction mixte anxieuse et dépressive (F43.22) versus épisode dépressif moyen (F32.1) et trouble panique (F41.0) et précise qu'une médication par antidépresseur et anxiolytique a été introduite courant octobre 2023. Dans son rapport du 11 novembre 2024 (dossier AI, p. 683), dans le cadre de l'hospitalisation en rhumatologie pour un traitement multimodal de la douleur au sein du D.________, le Dr S.________, chef de clinique, spécialiste en psychiatrie et psychothérapie, diagnostique un épisode dépressif sévère (F32.2), précisant que le recourant a rapporté que le licenciement et les difficultés financières qui en découlent sont les éléments déclencheurs de son état dépressif. En outre, il mentionne que l'intéressé a arrêté le suivi psychologique dès le mois de mai 2024 et que, "en raison de la brièveté</w:t>
      </w:r>
    </w:p>
    <w:p>
      <w:r>
        <w:t>Tribunal cantonal TC Page 14 de 15 de [son] observation, l'évaluation psychiatrique [était] limitée". Force est de constater que ces éléments semblent insuffisants pour retenir un diagnostic d'épisode dépressif car, comme le relève le médecin-conseil du SMR dans son avis du 17 décembre 2024 (dossier AI, p. 703), le critère de gravité sévère n'est pas documenté et les troubles sont reliés à des circonstances extra-médicales, à savoir le licenciement et les difficultés financières. Il n'en demeure pas moins que la problématique devra être examinée dans le cadre d'investigations complémentaires, dans la mesure où la présence d'une fibromyalgie, respectivement d'un trouble somatoforme, mise en évidence par les rapports médicaux ultérieurs à l'expertise, nécessite une analyse tant sur le plan rhumatologique que psychiatrique. 4.6. Il s'ensuit que, au regard des éléments médicaux apparus postérieurement et portés à sa connaissance, l'OAI ne pouvait statuer sans procéder à un complément d'instruction. A cet égard, les appréciations des médecins traitants ne sauraient, à elles seules, se voir reconnaître une force probante suffisante pour trancher la question du droit aux prestations, conformément à la jurisprudence du Tribunal fédéral en matière de troubles psychiques, notamment en raison du lien de confiance inhérent à la relation thérapeutique. Dans ces circonstances, il se justifie de renvoyer la cause à l'OAI afin qu'il mette en œuvre une expertise rhumatologique et psychiatrique, portant spécifiquement sur la problématique douloureuse du recourant et son évolution depuis l'aggravation alléguée, dont la date devra être déterminée avec précision. Les mesures d'instruction à entreprendre devront en particulier permettre de déterminer si les éléments médicaux apparus ultérieurement attestent, au degré de la vraisemblance prépondérante, une aggravation postérieure, ou s'ils sont susceptibles de remettre en cause, de manière rétrospective, la valeur probante de l'expertise pour tout ou partie de la période examinée. Dans ce cadre, il appartiendra également à l'OAI de tenir compte des rapports des 3 et 24 juin 2025 des Drs I.________ et T.________, spécialiste en psychiatrie et psychothérapie, psychiatre traitant, produits en procédure de recours, lesquels font état d'éléments postérieurs à la décision litigieuse et ne peuvent, à ce titre, être pris en considération à ce stade. Enfin, la Cour relève que l'incidence éventuelle de cette aggravation sur le droit aux prestations ne peut être prise en compte qu'à l'issue du délai de trois mois prévu par l'art. 88a al. 2 RAI. 5. 5.1. Au vu de tout ce qui précède, le recours doit être admis et la décision attaquée annulée, la cause étant renvoyée à l'autorité intimée dans le sens des considérants. 5.2. La procédure n'étant pas gratuite (cf. art. 69 al. 1bis LAI), les frais de justice sont fixés à CHF 800.-. Compte tenu de l'admission du recours, ils sont mis à la charge de l'autorité intimée. L'avance de frais du même montant versée par le recourant lui est restituée. 5.3. Le renvoi pour instruction complémentaire valant gain de cause total, le recourant a droit à des dépens entiers (art. 61 let. g LPGA; ATF 135 V 473). Son mandataire a produit sa liste de frais le 24 juin 2025, laquelle prévoit un montant total de CHF 2'979.35, à savoir CHF 2'616.65 au titre d'honoraires (10h28 à CHF 250.-), CHF 139.40 au titre de débours et CHF 223.30 au titre de la TVA à 8.1%. Celle-ci correspond aux exigences du tarif applicable (art. 8ss du tarif cantonal du</w:t>
      </w:r>
    </w:p>
    <w:p>
      <w:r>
        <w:rPr>
          <w:b/>
        </w:rPr>
        <w:t>E. 17</w:t>
      </w:r>
    </w:p>
    <w:p>
      <w:r>
        <w:t>décembre 1991 des frais de procédure et des indemnités en matière de juridiction administrative [Tarif/JA; RSF 150.12]). Cette indemnité est mise intégralement à la charge de l'autorité intimée.</w:t>
      </w:r>
    </w:p>
    <w:p>
      <w:r>
        <w:t>Tribunal cantonal TC Page 15 de 15 la Cour arrête : I. Le recours est admis. Partant, la décision du 14 avril 2025 de l'Office de l'assurance-invalidité du canton de Fribourg est annulée et la cause renvoyée à celui-ci pour complément d'instruction et nouvelle décision au sens des considérants. II. Les frais de procédure, fixés à CHF 800.-, sont mis à la charge de l'Office de l'assurance- invalidité du canton de Fribourg. III. L'avance de frais versée par A.________ à hauteur de CHF 800.- lui est restituée. IV. L'indemnité de partie allouée à A.________ est fixée à CHF 2'979.35, TVA à 8.1% par CHF 223.30 incluse. Elle est mise intégralement à la charge de l'Office de l'assurance- invalidité du canton de Fribourg et versée directement à Me Charles Guerry.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avril 2026/tac La Présidente suppléante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